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1DD" w14:textId="0FCE36F8" w:rsidR="00B06813" w:rsidRDefault="00B06813"/>
    <w:p w14:paraId="751F7E6A" w14:textId="70B432AE" w:rsidR="00BB6086" w:rsidRDefault="00BB6086" w:rsidP="00BB6086">
      <w:pPr>
        <w:jc w:val="center"/>
      </w:pPr>
      <w:r w:rsidRPr="004D5502">
        <w:rPr>
          <w:rFonts w:ascii="Times New Roman" w:hAnsi="Times New Roman" w:cs="Times New Roman"/>
          <w:color w:val="000000" w:themeColor="text1"/>
          <w:sz w:val="20"/>
          <w:szCs w:val="20"/>
          <w:lang w:val="en-US"/>
        </w:rPr>
        <w:t>Articles analyzed during SLR</w:t>
      </w:r>
    </w:p>
    <w:tbl>
      <w:tblPr>
        <w:tblStyle w:val="PlainTable2"/>
        <w:tblW w:w="9854" w:type="dxa"/>
        <w:tblLayout w:type="fixed"/>
        <w:tblLook w:val="04A0" w:firstRow="1" w:lastRow="0" w:firstColumn="1" w:lastColumn="0" w:noHBand="0" w:noVBand="1"/>
      </w:tblPr>
      <w:tblGrid>
        <w:gridCol w:w="1098"/>
        <w:gridCol w:w="1980"/>
        <w:gridCol w:w="1620"/>
        <w:gridCol w:w="5156"/>
      </w:tblGrid>
      <w:tr w:rsidR="00BB6086" w:rsidRPr="00BB6086" w14:paraId="4576A999" w14:textId="77777777" w:rsidTr="00BB6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293A9DF" w14:textId="77777777" w:rsidR="00BB6086" w:rsidRPr="00BB6086" w:rsidRDefault="00BB6086" w:rsidP="008F2562">
            <w:pPr>
              <w:spacing w:after="0" w:line="480" w:lineRule="auto"/>
              <w:jc w:val="center"/>
              <w:rPr>
                <w:rFonts w:ascii="Times New Roman" w:eastAsia="Times New Roman" w:hAnsi="Times New Roman" w:cs="Times New Roman"/>
                <w:b w:val="0"/>
                <w:bCs w:val="0"/>
                <w:color w:val="000000" w:themeColor="text1"/>
                <w:kern w:val="0"/>
                <w:sz w:val="18"/>
                <w:szCs w:val="18"/>
                <w:lang w:val="en-US" w:eastAsia="sk-SK"/>
                <w14:ligatures w14:val="none"/>
              </w:rPr>
            </w:pPr>
            <w:bookmarkStart w:id="0" w:name="_Hlk193281724"/>
            <w:r w:rsidRPr="00BB6086">
              <w:rPr>
                <w:rFonts w:ascii="Times New Roman" w:eastAsia="Calibri" w:hAnsi="Times New Roman" w:cs="Times New Roman"/>
                <w:b w:val="0"/>
                <w:bCs w:val="0"/>
                <w:color w:val="000000" w:themeColor="text1"/>
                <w:kern w:val="0"/>
                <w:sz w:val="18"/>
                <w:szCs w:val="18"/>
                <w:lang w:val="en-US" w:eastAsia="sk-SK"/>
                <w14:ligatures w14:val="none"/>
              </w:rPr>
              <w:t>AUTHORS</w:t>
            </w:r>
          </w:p>
        </w:tc>
        <w:tc>
          <w:tcPr>
            <w:tcW w:w="1980" w:type="dxa"/>
          </w:tcPr>
          <w:p w14:paraId="75E8764C" w14:textId="77777777" w:rsidR="00BB6086" w:rsidRPr="00BB6086" w:rsidRDefault="00BB6086" w:rsidP="008F2562">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AIM</w:t>
            </w:r>
          </w:p>
        </w:tc>
        <w:tc>
          <w:tcPr>
            <w:tcW w:w="1620" w:type="dxa"/>
          </w:tcPr>
          <w:p w14:paraId="720F3AD8" w14:textId="77777777" w:rsidR="00BB6086" w:rsidRPr="00BB6086" w:rsidRDefault="00BB6086" w:rsidP="008F2562">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METHOD</w:t>
            </w:r>
          </w:p>
        </w:tc>
        <w:tc>
          <w:tcPr>
            <w:tcW w:w="5156" w:type="dxa"/>
          </w:tcPr>
          <w:p w14:paraId="4D515D57" w14:textId="77777777" w:rsidR="00BB6086" w:rsidRPr="00BB6086" w:rsidRDefault="00BB6086" w:rsidP="008F2562">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MAIN RELEVANT FINDINGS</w:t>
            </w:r>
          </w:p>
        </w:tc>
      </w:tr>
      <w:tr w:rsidR="00BB6086" w:rsidRPr="00BB6086" w14:paraId="2971E4FF" w14:textId="77777777" w:rsidTr="00BB6086">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098" w:type="dxa"/>
          </w:tcPr>
          <w:p w14:paraId="745527FF" w14:textId="77777777" w:rsidR="00BB6086" w:rsidRPr="00BB6086" w:rsidRDefault="00BB6086" w:rsidP="008F2562">
            <w:pPr>
              <w:spacing w:after="0" w:line="480" w:lineRule="auto"/>
              <w:rPr>
                <w:rFonts w:ascii="Times New Roman" w:eastAsia="Aptos" w:hAnsi="Times New Roman" w:cs="Times New Roman"/>
                <w:b w:val="0"/>
                <w:bCs w:val="0"/>
                <w:color w:val="000000" w:themeColor="text1"/>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(Moreno et al., 2023)</w:t>
            </w:r>
          </w:p>
        </w:tc>
        <w:tc>
          <w:tcPr>
            <w:tcW w:w="1980" w:type="dxa"/>
          </w:tcPr>
          <w:p w14:paraId="01EC648A"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The correlation between Gen Z's attention span, content preference, and financial behavior with purchase intention</w:t>
            </w:r>
          </w:p>
        </w:tc>
        <w:tc>
          <w:tcPr>
            <w:tcW w:w="1620" w:type="dxa"/>
          </w:tcPr>
          <w:p w14:paraId="64D9C232"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Quantitative research method: online questionnaire</w:t>
            </w:r>
          </w:p>
        </w:tc>
        <w:tc>
          <w:tcPr>
            <w:tcW w:w="5156" w:type="dxa"/>
          </w:tcPr>
          <w:p w14:paraId="10FBDD9F"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Gen Z is an important audience to consider, but reaching them is difficult, because of their attention span and other problems. The length of the ad should be considered while also creating content that will be not only visually pleasing but also will have a deeper meaning within the content.</w:t>
            </w:r>
          </w:p>
        </w:tc>
      </w:tr>
      <w:tr w:rsidR="00BB6086" w:rsidRPr="00BB6086" w14:paraId="2A46D8FD"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116AC203" w14:textId="77777777" w:rsidR="00BB6086" w:rsidRPr="00BB6086" w:rsidRDefault="00BB6086" w:rsidP="008F2562">
            <w:pPr>
              <w:spacing w:after="0" w:line="480" w:lineRule="auto"/>
              <w:rPr>
                <w:rFonts w:ascii="Times New Roman" w:eastAsia="Aptos" w:hAnsi="Times New Roman" w:cs="Times New Roman"/>
                <w:b w:val="0"/>
                <w:bCs w:val="0"/>
                <w:color w:val="000000" w:themeColor="text1"/>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(De Oliveira Júnior et al., 2022)</w:t>
            </w:r>
          </w:p>
        </w:tc>
        <w:tc>
          <w:tcPr>
            <w:tcW w:w="1980" w:type="dxa"/>
          </w:tcPr>
          <w:p w14:paraId="47A1A97B"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The aim is to see how storytelling is used in marketing and how this tool influences purchasing behavior. </w:t>
            </w:r>
          </w:p>
        </w:tc>
        <w:tc>
          <w:tcPr>
            <w:tcW w:w="1620" w:type="dxa"/>
          </w:tcPr>
          <w:p w14:paraId="1FEFBCF6"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A systematic literature review using a bibliometric analysis</w:t>
            </w:r>
          </w:p>
        </w:tc>
        <w:tc>
          <w:tcPr>
            <w:tcW w:w="5156" w:type="dxa"/>
          </w:tcPr>
          <w:p w14:paraId="4B30E4B6"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Storytelling influences consumer's identification with the brand; creates emotional value and engages specific behaviors. The negative side of stories is the possible use of harmful speech. </w:t>
            </w:r>
          </w:p>
          <w:p w14:paraId="2DC2EE90"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p>
        </w:tc>
      </w:tr>
      <w:tr w:rsidR="00BB6086" w:rsidRPr="00BB6086" w14:paraId="6686E00D"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AFF311B" w14:textId="77777777" w:rsidR="00BB6086" w:rsidRPr="00BB6086" w:rsidRDefault="00BB6086" w:rsidP="008F2562">
            <w:pPr>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(Harris, 2019)</w:t>
            </w:r>
          </w:p>
        </w:tc>
        <w:tc>
          <w:tcPr>
            <w:tcW w:w="1980" w:type="dxa"/>
          </w:tcPr>
          <w:p w14:paraId="2B0BD8CA"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000000" w:themeColor="text1"/>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To see how storytelling can become a tool for scientists to bond with society and spread the needed information about climate related issues.  </w:t>
            </w:r>
          </w:p>
        </w:tc>
        <w:tc>
          <w:tcPr>
            <w:tcW w:w="1620" w:type="dxa"/>
          </w:tcPr>
          <w:p w14:paraId="00887A27"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Interviews</w:t>
            </w:r>
          </w:p>
        </w:tc>
        <w:tc>
          <w:tcPr>
            <w:tcW w:w="5156" w:type="dxa"/>
          </w:tcPr>
          <w:p w14:paraId="0EC2E990"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Storytelling in the context of communication about climate can be used as a manipulation tool by various sides of climate deniers or other individuals who have harmful motives. So, it is crucial for scientists to overcome miscommunication and other barriers by mastering storytelling.</w:t>
            </w:r>
          </w:p>
        </w:tc>
      </w:tr>
      <w:tr w:rsidR="00BB6086" w:rsidRPr="00BB6086" w14:paraId="768F602A"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5F4E348A" w14:textId="77777777" w:rsidR="00BB6086" w:rsidRPr="00BB6086" w:rsidRDefault="00BB6086" w:rsidP="008F2562">
            <w:pPr>
              <w:spacing w:after="0" w:line="480" w:lineRule="auto"/>
              <w:rPr>
                <w:rFonts w:ascii="Times New Roman" w:eastAsia="Calibri"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lang w:val="en-US" w:eastAsia="sk-SK"/>
                <w14:ligatures w14:val="none"/>
              </w:rPr>
              <w:t>(Janda &amp; Topouzi, 2015).</w:t>
            </w:r>
          </w:p>
        </w:tc>
        <w:tc>
          <w:tcPr>
            <w:tcW w:w="1980" w:type="dxa"/>
          </w:tcPr>
          <w:p w14:paraId="5642842C"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How storytelling is used as a communication tool in energy-efficiency projects. </w:t>
            </w:r>
          </w:p>
        </w:tc>
        <w:tc>
          <w:tcPr>
            <w:tcW w:w="1620" w:type="dxa"/>
          </w:tcPr>
          <w:p w14:paraId="50D5775B"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Case study</w:t>
            </w:r>
          </w:p>
        </w:tc>
        <w:tc>
          <w:tcPr>
            <w:tcW w:w="5156" w:type="dxa"/>
          </w:tcPr>
          <w:p w14:paraId="2850C310"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Brief description of story types: 1) hero; 2) learning and 3) horror stories. </w:t>
            </w:r>
          </w:p>
          <w:p w14:paraId="3D5810F5"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 xml:space="preserve">Learning stories should be more frequently used in admission to hero stories. </w:t>
            </w:r>
          </w:p>
        </w:tc>
      </w:tr>
      <w:tr w:rsidR="00BB6086" w:rsidRPr="00BB6086" w14:paraId="7C019CE8"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569314D" w14:textId="77777777" w:rsidR="00BB6086" w:rsidRPr="00BB6086" w:rsidRDefault="00BB6086" w:rsidP="008F2562">
            <w:pPr>
              <w:spacing w:after="0" w:line="480" w:lineRule="auto"/>
              <w:rPr>
                <w:rFonts w:ascii="Times New Roman" w:eastAsia="Calibri"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(Sabherwal &amp; Shreedhar, 2022)</w:t>
            </w:r>
          </w:p>
        </w:tc>
        <w:tc>
          <w:tcPr>
            <w:tcW w:w="1980" w:type="dxa"/>
          </w:tcPr>
          <w:p w14:paraId="5F955586"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Research is conducted to determine what kind of stories are most effective in the context of climate change.</w:t>
            </w:r>
          </w:p>
        </w:tc>
        <w:tc>
          <w:tcPr>
            <w:tcW w:w="1620" w:type="dxa"/>
          </w:tcPr>
          <w:p w14:paraId="7EFEEDF0"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Experiment quantitative</w:t>
            </w:r>
          </w:p>
        </w:tc>
        <w:tc>
          <w:tcPr>
            <w:tcW w:w="5156" w:type="dxa"/>
          </w:tcPr>
          <w:p w14:paraId="14FAFE7C"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Stories about climate change do not have to be told using negative, dark tone or use dystopian science fiction elements to be effective. Ordinary elements, familiar settings and everyday heroes can be used to create stories about climate related changes or phenomena. The main story characters who have a strong positive view on climate action create a stronger impact. Authors note actions related to environmental issues act as a strong “social learning cues”.</w:t>
            </w:r>
          </w:p>
        </w:tc>
      </w:tr>
      <w:tr w:rsidR="00BB6086" w:rsidRPr="00BB6086" w14:paraId="550E4BC0"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64ED6385" w14:textId="77777777" w:rsidR="00BB6086" w:rsidRPr="00BB6086" w:rsidRDefault="00BB6086" w:rsidP="008F2562">
            <w:pPr>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(Joosse et al., 2023)</w:t>
            </w:r>
          </w:p>
        </w:tc>
        <w:tc>
          <w:tcPr>
            <w:tcW w:w="1980" w:type="dxa"/>
          </w:tcPr>
          <w:p w14:paraId="020FCD3F"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Article aimed to see what is behind </w:t>
            </w: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storytelling for sustainability and present a clearer view of how this tool is used and the results of it. Therefore, the aim of this article is to offer a first step for understanding and critically evaluating storytelling for sustainability.</w:t>
            </w:r>
          </w:p>
        </w:tc>
        <w:tc>
          <w:tcPr>
            <w:tcW w:w="1620" w:type="dxa"/>
          </w:tcPr>
          <w:p w14:paraId="33419AE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Explorative study,</w:t>
            </w:r>
          </w:p>
          <w:p w14:paraId="76DFEEB9"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Qualitative mixed research methods</w:t>
            </w:r>
          </w:p>
          <w:p w14:paraId="07D63482" w14:textId="77777777" w:rsidR="00BB6086" w:rsidRPr="00BB6086" w:rsidRDefault="00BB6086" w:rsidP="008F2562">
            <w:pPr>
              <w:shd w:val="clear" w:color="auto" w:fill="FFFFFF"/>
              <w:spacing w:after="0" w:line="480" w:lineRule="auto"/>
              <w:ind w:firstLine="39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5156" w:type="dxa"/>
          </w:tcPr>
          <w:p w14:paraId="3FA91819"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 xml:space="preserve">Storytelling has become powerful and often used to communicate about climate issues, but a deeper understanding of how this method </w:t>
            </w: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is used is needed. Authors identified free frames that are being used in the context of sustainability stories: 1) persuasion, 2) emancipation, and 3) collaboration.</w:t>
            </w:r>
          </w:p>
        </w:tc>
      </w:tr>
      <w:tr w:rsidR="00BB6086" w:rsidRPr="00BB6086" w14:paraId="07E506D2"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07CE855"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lastRenderedPageBreak/>
              <w:t>(Hashem &amp; Qtaish, R. M. 2024)</w:t>
            </w:r>
          </w:p>
        </w:tc>
        <w:tc>
          <w:tcPr>
            <w:tcW w:w="1980" w:type="dxa"/>
          </w:tcPr>
          <w:p w14:paraId="72E9C7B6"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The study aims to determine the link between advertising and classic literature.</w:t>
            </w:r>
          </w:p>
        </w:tc>
        <w:tc>
          <w:tcPr>
            <w:tcW w:w="1620" w:type="dxa"/>
          </w:tcPr>
          <w:p w14:paraId="0D9F9239"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Qualitative open-ended interviews. Study: descriptive design</w:t>
            </w:r>
          </w:p>
        </w:tc>
        <w:tc>
          <w:tcPr>
            <w:tcW w:w="5156" w:type="dxa"/>
          </w:tcPr>
          <w:p w14:paraId="3DB946FC"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The main findings: Classic literature helps to understand how marketing and advertising were conducted while also helping to shape the future of these fields. Literature helps to shape this field, gain knowledge and find ways to improve the content.</w:t>
            </w:r>
          </w:p>
        </w:tc>
      </w:tr>
      <w:tr w:rsidR="00BB6086" w:rsidRPr="00BB6086" w14:paraId="00B0425E"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78434E86"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(Rathee &amp; Milfeld, 2023)</w:t>
            </w:r>
          </w:p>
        </w:tc>
        <w:tc>
          <w:tcPr>
            <w:tcW w:w="1980" w:type="dxa"/>
          </w:tcPr>
          <w:p w14:paraId="49285946"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This paper provides a holistic view of the effectiveness of sustainability advertising to inspire new research in this timely and critical advertising arena.</w:t>
            </w:r>
          </w:p>
        </w:tc>
        <w:tc>
          <w:tcPr>
            <w:tcW w:w="1620" w:type="dxa"/>
          </w:tcPr>
          <w:p w14:paraId="2BF5B02B"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SLR</w:t>
            </w:r>
          </w:p>
        </w:tc>
        <w:tc>
          <w:tcPr>
            <w:tcW w:w="5156" w:type="dxa"/>
          </w:tcPr>
          <w:p w14:paraId="0B741E0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It is important to think about the unintended consequences of sustainability advertising, that are Greenwashing and social washing. Companies trying to seem more sustainable or socially responsible than they are risking not only their own reputation but also are very harmful to those who are making changes.</w:t>
            </w:r>
          </w:p>
        </w:tc>
      </w:tr>
      <w:tr w:rsidR="00BB6086" w:rsidRPr="00BB6086" w14:paraId="4C44B7A0"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4EECB7F"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(Harris, 2023)</w:t>
            </w:r>
          </w:p>
        </w:tc>
        <w:tc>
          <w:tcPr>
            <w:tcW w:w="1980" w:type="dxa"/>
          </w:tcPr>
          <w:p w14:paraId="58017538"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Aims to learn how stories can be used to address crises.</w:t>
            </w:r>
          </w:p>
        </w:tc>
        <w:tc>
          <w:tcPr>
            <w:tcW w:w="1620" w:type="dxa"/>
          </w:tcPr>
          <w:p w14:paraId="4AFABF84"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An ethnography of practice. </w:t>
            </w:r>
          </w:p>
        </w:tc>
        <w:tc>
          <w:tcPr>
            <w:tcW w:w="5156" w:type="dxa"/>
          </w:tcPr>
          <w:p w14:paraId="10920133"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Storytelling used to address various crises, must be created with a deep understanding of the subject that they are trying to spread information about, so authors present the idea of acknowledging folklore, Indigenous storytelling and other forms of knowledge from storytellers around the world as a guide for better, more powerful and culturally appropriate content.</w:t>
            </w:r>
          </w:p>
        </w:tc>
      </w:tr>
      <w:tr w:rsidR="00BB6086" w:rsidRPr="00BB6086" w14:paraId="5965C72E"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03455483"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(Biržietienė, 2012)</w:t>
            </w:r>
          </w:p>
        </w:tc>
        <w:tc>
          <w:tcPr>
            <w:tcW w:w="1980" w:type="dxa"/>
          </w:tcPr>
          <w:p w14:paraId="15C7E1D6"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The article aimed to identify how social advertising is created in </w:t>
            </w: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the context of Lithuania and what elements can be used to create a wanted response from the target audience</w:t>
            </w:r>
          </w:p>
        </w:tc>
        <w:tc>
          <w:tcPr>
            <w:tcW w:w="1620" w:type="dxa"/>
          </w:tcPr>
          <w:p w14:paraId="302F83B8"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Contant analysis</w:t>
            </w:r>
          </w:p>
        </w:tc>
        <w:tc>
          <w:tcPr>
            <w:tcW w:w="5156" w:type="dxa"/>
          </w:tcPr>
          <w:p w14:paraId="29DD046F"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author of the article notes the importance of using three modes of persuasion that were presented by Aristotle: ethos, logos and</w:t>
            </w:r>
          </w:p>
          <w:p w14:paraId="1EFFE0F5"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pathos. In advertising it is encouraged to unite these three elements to achieve the desired outcomes. And in the context of social advertising pathos-based elements are used to create a more emotional reaction and encourage powerful emotions: fear, anger or sorrow.</w:t>
            </w:r>
          </w:p>
        </w:tc>
      </w:tr>
      <w:tr w:rsidR="00BB6086" w:rsidRPr="00BB6086" w14:paraId="4C3E1240"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097280C"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lastRenderedPageBreak/>
              <w:t>(Beard, Henninger &amp; Venkatraman, 2022)</w:t>
            </w:r>
          </w:p>
        </w:tc>
        <w:tc>
          <w:tcPr>
            <w:tcW w:w="1980" w:type="dxa"/>
          </w:tcPr>
          <w:p w14:paraId="31E82343"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Aimed to systematically evaluate the relative effectiveness of functional, emotional, and metaphorical ads.</w:t>
            </w:r>
          </w:p>
        </w:tc>
        <w:tc>
          <w:tcPr>
            <w:tcW w:w="1620" w:type="dxa"/>
          </w:tcPr>
          <w:p w14:paraId="319D7F15"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Two phase experiments.</w:t>
            </w:r>
          </w:p>
          <w:p w14:paraId="022115E2"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5156" w:type="dxa"/>
          </w:tcPr>
          <w:p w14:paraId="4A513CFE"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It was found that metaphorical ads were associated with better memory relative to functional and emotional ads.</w:t>
            </w:r>
          </w:p>
          <w:p w14:paraId="299DB77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It depends on the goals of marketing campaigns what kind of stories should be used.</w:t>
            </w:r>
          </w:p>
          <w:p w14:paraId="22941CE2"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If marketers seek more time spent on their content, informational ads should be used. emotional and metaphorical ads- capturing consumers’ attention and breaking through the clutter.</w:t>
            </w:r>
          </w:p>
          <w:p w14:paraId="2724DCF9"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An important step that does not change based on the goal is the right integration of story elements within the context.</w:t>
            </w:r>
          </w:p>
        </w:tc>
      </w:tr>
      <w:tr w:rsidR="00BB6086" w:rsidRPr="00BB6086" w14:paraId="3F1C6D54"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044EFA45" w14:textId="77777777" w:rsidR="00BB6086" w:rsidRPr="00BB6086" w:rsidRDefault="00BB6086" w:rsidP="008F2562">
            <w:pPr>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(Joshi &amp; Kronrod, 2019)</w:t>
            </w:r>
          </w:p>
        </w:tc>
        <w:tc>
          <w:tcPr>
            <w:tcW w:w="1980" w:type="dxa"/>
          </w:tcPr>
          <w:p w14:paraId="64E3D473"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The aim of the study was to present a way to overcome the challenge of conveying positive ecological impact of the brand to consumers by using specific brand names.</w:t>
            </w:r>
          </w:p>
        </w:tc>
        <w:tc>
          <w:tcPr>
            <w:tcW w:w="1620" w:type="dxa"/>
          </w:tcPr>
          <w:p w14:paraId="135A2023"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Mixed method: four studies: experiment; online study</w:t>
            </w:r>
          </w:p>
        </w:tc>
        <w:tc>
          <w:tcPr>
            <w:tcW w:w="5156" w:type="dxa"/>
          </w:tcPr>
          <w:p w14:paraId="038FA8D3"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study showed that sound symbolism is an important aspect of the efforts to portray environmental impact of the brand and can be used to convey messages or add more leverage to the claim. Brand names must be carefully chosen when it comes to international context, because different meanings might exist.</w:t>
            </w:r>
          </w:p>
          <w:p w14:paraId="394C4C6B"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p>
        </w:tc>
      </w:tr>
      <w:tr w:rsidR="00BB6086" w:rsidRPr="00BB6086" w14:paraId="70D24933"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09AFBCB"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(Fan et al., 2023)‌</w:t>
            </w:r>
          </w:p>
        </w:tc>
        <w:tc>
          <w:tcPr>
            <w:tcW w:w="1980" w:type="dxa"/>
          </w:tcPr>
          <w:p w14:paraId="14BA7124"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This study aims to examine whether blank-leaving(less) leads to favorable brand attitudes and compares its effects on consumers’ story immersion, to non-blank-leaving(more).</w:t>
            </w:r>
          </w:p>
        </w:tc>
        <w:tc>
          <w:tcPr>
            <w:tcW w:w="1620" w:type="dxa"/>
          </w:tcPr>
          <w:p w14:paraId="4F93361D"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lang w:val="en-US" w:eastAsia="sk-SK"/>
                <w14:ligatures w14:val="none"/>
              </w:rPr>
              <w:t>Experiment</w:t>
            </w:r>
          </w:p>
        </w:tc>
        <w:tc>
          <w:tcPr>
            <w:tcW w:w="5156" w:type="dxa"/>
          </w:tcPr>
          <w:p w14:paraId="5D8FCDAD"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 xml:space="preserve">While creating content, it is important to focus on the way storytelling methods are used. Few notes: 1) More open-ended endings and supporting elements of the story being put in center position help to engage the audience more effectively, activate imagination and encourage them to explore their own value systems. 2) Immersion of the audience. The more similar the protagonist is to the target audience, the higher the chance of immersion. Consumer-centric approach! Authenticity is crucial. 3) Target audience must be considered when choosing story elements, style and implementation. Segmentation of the story: individuals with growth mindsets tend to prefer stories that leave room for </w:t>
            </w:r>
            <w:r w:rsidRPr="00BB6086">
              <w:rPr>
                <w:rFonts w:ascii="Times New Roman" w:eastAsia="Times New Roman" w:hAnsi="Times New Roman" w:cs="Times New Roman"/>
                <w:color w:val="000000" w:themeColor="text1"/>
                <w:kern w:val="0"/>
                <w:sz w:val="18"/>
                <w:szCs w:val="18"/>
                <w:lang w:val="en-US" w:eastAsia="sk-SK"/>
                <w14:ligatures w14:val="none"/>
              </w:rPr>
              <w:lastRenderedPageBreak/>
              <w:t>interpretation, whereas those with a fixed mindset prefer stories with a clear and definitive conclusion.</w:t>
            </w:r>
          </w:p>
        </w:tc>
      </w:tr>
      <w:tr w:rsidR="00BB6086" w:rsidRPr="00BB6086" w14:paraId="0A03C2FD"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4E4F242F"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lastRenderedPageBreak/>
              <w:t>(Herédia-Colaço, 2022)</w:t>
            </w:r>
          </w:p>
        </w:tc>
        <w:tc>
          <w:tcPr>
            <w:tcW w:w="1980" w:type="dxa"/>
          </w:tcPr>
          <w:p w14:paraId="4D2C0640"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Aims to see how an audience reacts to environmental issues with different message appeals: high-familiarity versus a low-familiarity brand.</w:t>
            </w:r>
          </w:p>
        </w:tc>
        <w:tc>
          <w:tcPr>
            <w:tcW w:w="1620" w:type="dxa"/>
          </w:tcPr>
          <w:p w14:paraId="2CF8A3A9"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Experimental studies </w:t>
            </w:r>
          </w:p>
        </w:tc>
        <w:tc>
          <w:tcPr>
            <w:tcW w:w="5156" w:type="dxa"/>
          </w:tcPr>
          <w:p w14:paraId="59AB5F23"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People tend to prefer low-familiarity to a high-familiarity brand when it comes to eco-friendly messages. Especially with less environmentally friendly lifestyles.</w:t>
            </w:r>
          </w:p>
          <w:p w14:paraId="1E6DAC4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More clarity among the stakeholders and the information presented to the audience.</w:t>
            </w:r>
          </w:p>
          <w:p w14:paraId="70766B6A"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Low-familiarity brands have an advantage in reaching the target audience of those with less eco-friendly behavior, and in this way, not only help to move towards climate neutrality but also gain an economical advantage.</w:t>
            </w:r>
          </w:p>
        </w:tc>
      </w:tr>
      <w:tr w:rsidR="00BB6086" w:rsidRPr="00BB6086" w14:paraId="5C8D9B0C"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D5C1297"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(Rahimah et al., 2024)</w:t>
            </w:r>
          </w:p>
        </w:tc>
        <w:tc>
          <w:tcPr>
            <w:tcW w:w="1980" w:type="dxa"/>
          </w:tcPr>
          <w:p w14:paraId="60420AE9"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To investigate the green brand’s effect in terms of commitment and connection through morality.</w:t>
            </w:r>
          </w:p>
        </w:tc>
        <w:tc>
          <w:tcPr>
            <w:tcW w:w="1620" w:type="dxa"/>
          </w:tcPr>
          <w:p w14:paraId="60A9879A"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Quantitative method:</w:t>
            </w:r>
          </w:p>
          <w:p w14:paraId="62C3FB8E"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420 valid questionnaires</w:t>
            </w:r>
          </w:p>
          <w:p w14:paraId="139663E9"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5156" w:type="dxa"/>
          </w:tcPr>
          <w:p w14:paraId="0B8395A6"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Brands can participate in positive change towards climate neutrality by:</w:t>
            </w:r>
          </w:p>
          <w:p w14:paraId="5210B70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1) Increasing awareness and knowledge of climate change and sustainability issues. Present ways to improve the situation in the current context, with specific choices, by supporting certain brands and other individuals. But do so with clarity and authenticity to avoid greenwashing and social washing.</w:t>
            </w:r>
          </w:p>
          <w:p w14:paraId="664A6A72"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2) It is noted that less religious people tend to be more likely to accept sustainable messages and act on them compared to more religious people.</w:t>
            </w:r>
          </w:p>
          <w:p w14:paraId="4FE28EA0"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3) It is also important to focus on the differences that generations have.</w:t>
            </w:r>
          </w:p>
          <w:p w14:paraId="4186699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4) It is suggested to use story type messaging to promote green ideas to low self-esteem consumer market.</w:t>
            </w:r>
          </w:p>
        </w:tc>
      </w:tr>
      <w:tr w:rsidR="00BB6086" w:rsidRPr="00BB6086" w14:paraId="5ECABAD8"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3F82095B"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(Safeer &amp; Liu, 2022)‌</w:t>
            </w:r>
          </w:p>
          <w:p w14:paraId="7AADB468"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p>
        </w:tc>
        <w:tc>
          <w:tcPr>
            <w:tcW w:w="1980" w:type="dxa"/>
          </w:tcPr>
          <w:p w14:paraId="74EEFD81"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To see how perceived CSR authenticity affects brand loyalty.</w:t>
            </w:r>
          </w:p>
        </w:tc>
        <w:tc>
          <w:tcPr>
            <w:tcW w:w="1620" w:type="dxa"/>
          </w:tcPr>
          <w:p w14:paraId="0F80244B"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Examined 734 responses to test the proposed hypotheses using structural equation modeling.</w:t>
            </w:r>
          </w:p>
        </w:tc>
        <w:tc>
          <w:tcPr>
            <w:tcW w:w="5156" w:type="dxa"/>
          </w:tcPr>
          <w:p w14:paraId="41FD1069"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This study discovered that perceived CSR authenticity strengthened perceived brand authenticity, which fostered perceived brand loyalty by enhancing brand trust and motivating consumers to spread PWOM about global brands.</w:t>
            </w:r>
          </w:p>
          <w:p w14:paraId="246B6AB5"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Global managers should strengthen their CSR practices by ensuring that CSR programs are implemented genuinely and honestly for the benefit of society.</w:t>
            </w:r>
          </w:p>
          <w:p w14:paraId="47E95E12"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To maintain consumer trust, companies must improve their brand image in the global markets by acting ethically and caring for all stakeholders, including their staff, who interact with consumers by communicating the firm’s genuine CSR activities</w:t>
            </w:r>
          </w:p>
        </w:tc>
      </w:tr>
      <w:tr w:rsidR="00BB6086" w:rsidRPr="00BB6086" w14:paraId="090812AD"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26ED64C"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(Gong et al., 2022)</w:t>
            </w:r>
          </w:p>
        </w:tc>
        <w:tc>
          <w:tcPr>
            <w:tcW w:w="1980" w:type="dxa"/>
          </w:tcPr>
          <w:p w14:paraId="111FF5AF"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How green attributes existing in different product categories affect consumer purchase intention.</w:t>
            </w:r>
          </w:p>
          <w:p w14:paraId="1220E669"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1620" w:type="dxa"/>
          </w:tcPr>
          <w:p w14:paraId="1334079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Experiment</w:t>
            </w:r>
          </w:p>
        </w:tc>
        <w:tc>
          <w:tcPr>
            <w:tcW w:w="5156" w:type="dxa"/>
          </w:tcPr>
          <w:p w14:paraId="4E13DD3C"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In the utilitarian product category, products with green peripheral attributes result in a higher purchase intention than those with green core attributes, whereas in the hedonic product category, products with green core attributes result in a higher purchase intention than those with green peripheral attributes. For the utilitarian products, instrumentality and efficiency are highly valued. Highlight performance-related characteristics. For hedonic products, enjoyment and pleasure are greatly valued. Hedonic products with green attributes, consumers tend to purchase this type of product when they perceive the self-expression benefits associated with green consumption. For example, when promoting an environmentally friendly body lotion, marketers should emphasize both the natural formula and packaging from recycled materials in advertising to encourage green consumption behavior.</w:t>
            </w:r>
          </w:p>
          <w:p w14:paraId="6B1B152B"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Highlight social value, warm feelings of generosity, and environmental concerns.</w:t>
            </w:r>
          </w:p>
        </w:tc>
      </w:tr>
      <w:tr w:rsidR="00BB6086" w:rsidRPr="00BB6086" w14:paraId="7BE6A7E6"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15C13AA9"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(Stoica &amp; Hickman, 2021)</w:t>
            </w:r>
          </w:p>
        </w:tc>
        <w:tc>
          <w:tcPr>
            <w:tcW w:w="1980" w:type="dxa"/>
          </w:tcPr>
          <w:p w14:paraId="30F427A2"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Aimed to see how sustainable brands build trust and influence the Consumers’ decision process.</w:t>
            </w:r>
          </w:p>
        </w:tc>
        <w:tc>
          <w:tcPr>
            <w:tcW w:w="1620" w:type="dxa"/>
          </w:tcPr>
          <w:p w14:paraId="21A13B35"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Structural Equation Modeling (SEM) stands as a superior quantitative method</w:t>
            </w:r>
          </w:p>
        </w:tc>
        <w:tc>
          <w:tcPr>
            <w:tcW w:w="5156" w:type="dxa"/>
          </w:tcPr>
          <w:p w14:paraId="4169336D"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To build sustainable brands, it is crucial for the people in charge to understand, act, and put environmental issues forward. This is important to have a positive impact on brand trust</w:t>
            </w:r>
          </w:p>
        </w:tc>
      </w:tr>
      <w:tr w:rsidR="00BB6086" w:rsidRPr="00BB6086" w14:paraId="7C48A982"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AC41172"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(Lin et al., 2020)‌</w:t>
            </w:r>
          </w:p>
          <w:p w14:paraId="2EDE3C06"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p>
        </w:tc>
        <w:tc>
          <w:tcPr>
            <w:tcW w:w="1980" w:type="dxa"/>
          </w:tcPr>
          <w:p w14:paraId="1EB18474"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Investigate how green transparency and green competence enhancement can promote consumer behavioral outcomes:</w:t>
            </w:r>
          </w:p>
          <w:p w14:paraId="1B331A8D"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1) Loyalty and resistance to negative information regarding green brands) 2) Through green brand attachment (i.e., self–green brand connection and green brand prominence).</w:t>
            </w:r>
          </w:p>
        </w:tc>
        <w:tc>
          <w:tcPr>
            <w:tcW w:w="1620" w:type="dxa"/>
          </w:tcPr>
          <w:p w14:paraId="128E66D9"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Online survey from 826</w:t>
            </w:r>
          </w:p>
        </w:tc>
        <w:tc>
          <w:tcPr>
            <w:tcW w:w="5156" w:type="dxa"/>
          </w:tcPr>
          <w:p w14:paraId="7C0C3B3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The more transparent the communication about environmental issues and efforts of a brand are, the more positive the response from consumers and later loyalty toward green brands.</w:t>
            </w:r>
          </w:p>
        </w:tc>
      </w:tr>
      <w:tr w:rsidR="00BB6086" w:rsidRPr="00BB6086" w14:paraId="25BFFE0B"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0A9BDC3D"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(Royo et al., 2018)</w:t>
            </w:r>
          </w:p>
        </w:tc>
        <w:tc>
          <w:tcPr>
            <w:tcW w:w="1980" w:type="dxa"/>
          </w:tcPr>
          <w:p w14:paraId="185CB4F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aims to see how consumers react to verbal narrative ads vs to visual narrative ads, and which format helps to accept the arguments better.</w:t>
            </w:r>
          </w:p>
        </w:tc>
        <w:tc>
          <w:tcPr>
            <w:tcW w:w="1620" w:type="dxa"/>
          </w:tcPr>
          <w:p w14:paraId="3796AF3C"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Experiment The neuronal response of the possible users was then measured by means of the electroencephalogram (EEG) headset.</w:t>
            </w:r>
          </w:p>
        </w:tc>
        <w:tc>
          <w:tcPr>
            <w:tcW w:w="5156" w:type="dxa"/>
          </w:tcPr>
          <w:p w14:paraId="2ACD6C49"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Verbal format viewed first helps to trigger a more emotional response than watching visual type of narrative first.</w:t>
            </w:r>
          </w:p>
        </w:tc>
      </w:tr>
      <w:tr w:rsidR="00BB6086" w:rsidRPr="00BB6086" w14:paraId="24E0630C"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181B773"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(Hartmann et al., 2018)</w:t>
            </w:r>
          </w:p>
        </w:tc>
        <w:tc>
          <w:tcPr>
            <w:tcW w:w="1980" w:type="dxa"/>
          </w:tcPr>
          <w:p w14:paraId="78678D3E"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Aimed to see the connection of psychological empowerment and consumer behavior in the context of environmental issues.</w:t>
            </w:r>
          </w:p>
        </w:tc>
        <w:tc>
          <w:tcPr>
            <w:tcW w:w="1620" w:type="dxa"/>
          </w:tcPr>
          <w:p w14:paraId="37A274E4"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 Two studies: mixed methods: qualitative. Experiment and representative online panel</w:t>
            </w:r>
          </w:p>
          <w:p w14:paraId="6E6B21EC"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w:t>
            </w:r>
          </w:p>
          <w:p w14:paraId="1F01456F"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5156" w:type="dxa"/>
          </w:tcPr>
          <w:p w14:paraId="0ED17FFB"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Consumer’s subjective experience of empowerment helps to create a positive relationship between environmentally friendly production and consumers.</w:t>
            </w:r>
          </w:p>
          <w:p w14:paraId="16276CB2"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It is important to create knowledge about the issues and the role that individuals have while trying to move towards environmental goals.</w:t>
            </w:r>
          </w:p>
          <w:p w14:paraId="01819819"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Environmentally friendly actions require sacrifices and acceptance of changes from society. To overcome the passive role of society in the context of reaching climate neutrality, it is important for marketing professionals to address the problem of disempowerment.</w:t>
            </w:r>
          </w:p>
          <w:p w14:paraId="63B4A9BB"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content and other marketing efforts should try to make consumers feel empowered, motivated and aware of their impact. Education and social factors are those tools that help to overcome this problem.</w:t>
            </w:r>
          </w:p>
        </w:tc>
      </w:tr>
      <w:tr w:rsidR="00BB6086" w:rsidRPr="00BB6086" w14:paraId="79355E44"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4F4488D1"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(Gordon et al., 2018)</w:t>
            </w:r>
          </w:p>
        </w:tc>
        <w:tc>
          <w:tcPr>
            <w:tcW w:w="1980" w:type="dxa"/>
          </w:tcPr>
          <w:p w14:paraId="1341A261"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 xml:space="preserve">Authors used encephalography (EEG) to see how narratives </w:t>
            </w:r>
            <w:r w:rsidRPr="00BB6086">
              <w:rPr>
                <w:rFonts w:ascii="Times New Roman" w:eastAsia="Times New Roman" w:hAnsi="Times New Roman" w:cs="Times New Roman"/>
                <w:color w:val="000000" w:themeColor="text1"/>
                <w:kern w:val="0"/>
                <w:sz w:val="18"/>
                <w:szCs w:val="18"/>
                <w:lang w:val="en-US" w:eastAsia="sk-SK"/>
                <w14:ligatures w14:val="none"/>
              </w:rPr>
              <w:lastRenderedPageBreak/>
              <w:t>can be used in advertising and What is the role of attention, working memory, emotion and imagination in narrative transportation.</w:t>
            </w:r>
          </w:p>
          <w:p w14:paraId="57FF1EA8"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p>
        </w:tc>
        <w:tc>
          <w:tcPr>
            <w:tcW w:w="1620" w:type="dxa"/>
          </w:tcPr>
          <w:p w14:paraId="7147EE71"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 xml:space="preserve">EEG experiment during which they were shown four </w:t>
            </w:r>
            <w:r w:rsidRPr="00BB6086">
              <w:rPr>
                <w:rFonts w:ascii="Times New Roman" w:eastAsia="Times New Roman" w:hAnsi="Times New Roman" w:cs="Times New Roman"/>
                <w:color w:val="000000" w:themeColor="text1"/>
                <w:kern w:val="0"/>
                <w:sz w:val="18"/>
                <w:szCs w:val="18"/>
                <w:lang w:val="en-US" w:eastAsia="sk-SK"/>
                <w14:ligatures w14:val="none"/>
              </w:rPr>
              <w:lastRenderedPageBreak/>
              <w:t>different narrative videos to identify brain response during specific video segments.</w:t>
            </w:r>
          </w:p>
          <w:p w14:paraId="6F9355F7"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p>
        </w:tc>
        <w:tc>
          <w:tcPr>
            <w:tcW w:w="5156" w:type="dxa"/>
          </w:tcPr>
          <w:p w14:paraId="0255DABF"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Narratives can be used as a tool to promote</w:t>
            </w:r>
          </w:p>
          <w:p w14:paraId="32B58829"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 xml:space="preserve">energy efficiency issues in social marketing. Content should try to invoke emotional responses, working memory and imagination to </w:t>
            </w:r>
            <w:r w:rsidRPr="00BB6086">
              <w:rPr>
                <w:rFonts w:ascii="Times New Roman" w:eastAsia="Times New Roman" w:hAnsi="Times New Roman" w:cs="Times New Roman"/>
                <w:color w:val="000000" w:themeColor="text1"/>
                <w:kern w:val="0"/>
                <w:sz w:val="18"/>
                <w:szCs w:val="18"/>
                <w:lang w:val="en-US" w:eastAsia="sk-SK"/>
                <w14:ligatures w14:val="none"/>
              </w:rPr>
              <w:lastRenderedPageBreak/>
              <w:t>help consumers become narratively transported. Marketers should also attempt to stimulate working memory, emotion and imagination with their stories. It is important to transport audiences with the content. To achieve greater narrative transportation, it may be necessary for marketers to do more than attract focused attention from consumers. Marketers should also attempt to stimulate working memory, emotion and imagination with their stories. using relatable characters, close to the audience, community, togetherness and other related values should be the focus of content. Target audience should be always in mind and thoroughly researched before creation of content.</w:t>
            </w:r>
          </w:p>
        </w:tc>
      </w:tr>
      <w:tr w:rsidR="00BB6086" w:rsidRPr="00BB6086" w14:paraId="37FCB9F0" w14:textId="77777777" w:rsidTr="00BB6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F6E5197"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lastRenderedPageBreak/>
              <w:t>(Glaser &amp; Reisinger, 2021)</w:t>
            </w:r>
          </w:p>
        </w:tc>
        <w:tc>
          <w:tcPr>
            <w:tcW w:w="1980" w:type="dxa"/>
          </w:tcPr>
          <w:p w14:paraId="163CBD23"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Aimed to see how Advertising using storytelling should be created and what is the role of the link between product and story and how it affects persuasion.</w:t>
            </w:r>
          </w:p>
        </w:tc>
        <w:tc>
          <w:tcPr>
            <w:tcW w:w="1620" w:type="dxa"/>
          </w:tcPr>
          <w:p w14:paraId="3330B2CB"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Mixed method</w:t>
            </w:r>
          </w:p>
          <w:p w14:paraId="6E47EFBC"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p>
        </w:tc>
        <w:tc>
          <w:tcPr>
            <w:tcW w:w="5156" w:type="dxa"/>
          </w:tcPr>
          <w:p w14:paraId="58C4DEE7"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Positive effect of product–story link on brand attitude is mediated by subjective comprehension and narrative transportation.</w:t>
            </w:r>
          </w:p>
          <w:p w14:paraId="13A83B6E"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Advertising content using stories should be created with the maximum level of clarity in all aspects of the story and with a clear with between the story itself and the idea/product or service that is being presented.</w:t>
            </w:r>
          </w:p>
        </w:tc>
      </w:tr>
      <w:tr w:rsidR="00BB6086" w:rsidRPr="00BB6086" w14:paraId="6728F9F1"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7575F0E5"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(Delgado-Ballester, 2020)</w:t>
            </w:r>
          </w:p>
        </w:tc>
        <w:tc>
          <w:tcPr>
            <w:tcW w:w="1980" w:type="dxa"/>
          </w:tcPr>
          <w:p w14:paraId="48A770AF"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Which sorry themes are more relevant in consumer–brand identification: underdog and top dog in the design of brand storytelling.</w:t>
            </w:r>
          </w:p>
        </w:tc>
        <w:tc>
          <w:tcPr>
            <w:tcW w:w="1620" w:type="dxa"/>
          </w:tcPr>
          <w:p w14:paraId="5A9ACE3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An experimental study</w:t>
            </w:r>
          </w:p>
        </w:tc>
        <w:tc>
          <w:tcPr>
            <w:tcW w:w="5156" w:type="dxa"/>
          </w:tcPr>
          <w:p w14:paraId="7FE5788E"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underdog theme creates a stronger emotional bond and immersion into the story. Empathy is induced when an underdog story is presented.</w:t>
            </w:r>
          </w:p>
          <w:p w14:paraId="214ECD5C"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The underdog story should come from less well-known brands. Authenticity is a crucial element when creating content.</w:t>
            </w:r>
          </w:p>
        </w:tc>
      </w:tr>
      <w:tr w:rsidR="00BB6086" w:rsidRPr="00BB6086" w14:paraId="057C7F97" w14:textId="77777777" w:rsidTr="00BB6086">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098" w:type="dxa"/>
          </w:tcPr>
          <w:p w14:paraId="2A09833F"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t> Milfeld &amp; Flint, 2020)</w:t>
            </w:r>
          </w:p>
        </w:tc>
        <w:tc>
          <w:tcPr>
            <w:tcW w:w="1980" w:type="dxa"/>
          </w:tcPr>
          <w:p w14:paraId="49FCC28E"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 to see How social issues should be addressed in advertising and what determines different reactions from the audience. Gillette </w:t>
            </w: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lastRenderedPageBreak/>
              <w:t>2019 advertising was taken as an example.</w:t>
            </w:r>
          </w:p>
        </w:tc>
        <w:tc>
          <w:tcPr>
            <w:tcW w:w="1620" w:type="dxa"/>
          </w:tcPr>
          <w:p w14:paraId="00C0A40C"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lastRenderedPageBreak/>
              <w:t>Semi-structured, in-depth interviews.</w:t>
            </w:r>
          </w:p>
        </w:tc>
        <w:tc>
          <w:tcPr>
            <w:tcW w:w="5156" w:type="dxa"/>
          </w:tcPr>
          <w:p w14:paraId="79620765"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When using storytelling in advertising, it must be created with consideration of various ways that the story elements can be interpreted.</w:t>
            </w:r>
          </w:p>
          <w:p w14:paraId="40C29FE2"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 xml:space="preserve">It is also noted that product placement may activate persuasive intent, interrupting immersion into the story. Different misinterpretations reflect the individual’s experiences, which shaped the viewer’s perception of the character and the scenes. </w:t>
            </w:r>
            <w:r w:rsidRPr="00BB6086">
              <w:rPr>
                <w:rFonts w:ascii="Times New Roman" w:eastAsia="Times New Roman" w:hAnsi="Times New Roman" w:cs="Times New Roman"/>
                <w:color w:val="000000" w:themeColor="text1"/>
                <w:kern w:val="0"/>
                <w:sz w:val="18"/>
                <w:szCs w:val="18"/>
                <w:lang w:val="en-US" w:eastAsia="sk-SK"/>
                <w14:ligatures w14:val="none"/>
              </w:rPr>
              <w:lastRenderedPageBreak/>
              <w:t>Content creation process should be conducted with respect, ethics and thorough analysis of the audience that is chosen.</w:t>
            </w:r>
          </w:p>
        </w:tc>
      </w:tr>
      <w:tr w:rsidR="00BB6086" w:rsidRPr="00BB6086" w14:paraId="2574F652"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14377935"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Times New Roman" w:hAnsi="Times New Roman" w:cs="Times New Roman"/>
                <w:b w:val="0"/>
                <w:bCs w:val="0"/>
                <w:color w:val="000000" w:themeColor="text1"/>
                <w:kern w:val="0"/>
                <w:sz w:val="18"/>
                <w:szCs w:val="18"/>
                <w:lang w:val="en-US" w:eastAsia="sk-SK"/>
                <w14:ligatures w14:val="none"/>
              </w:rPr>
              <w:lastRenderedPageBreak/>
              <w:t>(Finnegan, 2022)</w:t>
            </w:r>
          </w:p>
        </w:tc>
        <w:tc>
          <w:tcPr>
            <w:tcW w:w="1980" w:type="dxa"/>
          </w:tcPr>
          <w:p w14:paraId="2F31A652"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How to engage young people with issues like climate change and help to move towards the future. </w:t>
            </w:r>
          </w:p>
        </w:tc>
        <w:tc>
          <w:tcPr>
            <w:tcW w:w="1620" w:type="dxa"/>
          </w:tcPr>
          <w:p w14:paraId="1EC656E2"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The participatory action research method</w:t>
            </w:r>
          </w:p>
        </w:tc>
        <w:tc>
          <w:tcPr>
            <w:tcW w:w="5156" w:type="dxa"/>
          </w:tcPr>
          <w:p w14:paraId="39FFCD55"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Digital storytelling to engage, create knowledge and encourage empathy among young adults. Authors note the need for a reminder in the content to young people that they are ones that are creating their future, they have that power. Storytelling in digital advertising is presented to create a deeper understanding and engagement.</w:t>
            </w:r>
          </w:p>
        </w:tc>
      </w:tr>
      <w:tr w:rsidR="00BB6086" w:rsidRPr="00BB6086" w14:paraId="4481710C" w14:textId="77777777" w:rsidTr="00BB6086">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1098" w:type="dxa"/>
          </w:tcPr>
          <w:p w14:paraId="131A635C" w14:textId="77777777" w:rsidR="00BB6086" w:rsidRPr="00BB6086" w:rsidRDefault="00BB6086" w:rsidP="008F2562">
            <w:pPr>
              <w:shd w:val="clear" w:color="auto" w:fill="FFFFFF"/>
              <w:spacing w:after="0" w:line="480" w:lineRule="auto"/>
              <w:rPr>
                <w:rFonts w:ascii="Times New Roman" w:eastAsia="Times New Roman" w:hAnsi="Times New Roman" w:cs="Times New Roman"/>
                <w:b w:val="0"/>
                <w:bCs w:val="0"/>
                <w:color w:val="000000" w:themeColor="text1"/>
                <w:kern w:val="0"/>
                <w:sz w:val="18"/>
                <w:szCs w:val="18"/>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(Kang et al., 2020)</w:t>
            </w:r>
          </w:p>
        </w:tc>
        <w:tc>
          <w:tcPr>
            <w:tcW w:w="1980" w:type="dxa"/>
          </w:tcPr>
          <w:p w14:paraId="76628368" w14:textId="77777777" w:rsidR="00BB6086" w:rsidRPr="00BB6086" w:rsidRDefault="00BB6086" w:rsidP="008F2562">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To test the effects of storytelling in radio advertisements on participants' positive emotional responses and intentions to share information about the product, depending on the audience's narrative engagement level.</w:t>
            </w:r>
          </w:p>
        </w:tc>
        <w:tc>
          <w:tcPr>
            <w:tcW w:w="1620" w:type="dxa"/>
          </w:tcPr>
          <w:p w14:paraId="3C581575"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Experiment.</w:t>
            </w:r>
          </w:p>
        </w:tc>
        <w:tc>
          <w:tcPr>
            <w:tcW w:w="5156" w:type="dxa"/>
          </w:tcPr>
          <w:p w14:paraId="1A3BF9E8"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higher the immersion is into the story, the more empathy is created. Content should try to create a plot that inspires the audience to imagine themselves as part of the story.</w:t>
            </w:r>
          </w:p>
          <w:p w14:paraId="09EEE8F0"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Emotional bond with the character, self-transportation to the story = positive emotions are created, the ad is more trusted and believed.</w:t>
            </w:r>
          </w:p>
          <w:p w14:paraId="2D6B06BF"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The emotions that the main characters carried in the ad were transferred to the listeners.</w:t>
            </w:r>
          </w:p>
          <w:p w14:paraId="7DEE92C4" w14:textId="77777777" w:rsidR="00BB6086" w:rsidRPr="00BB6086" w:rsidRDefault="00BB6086" w:rsidP="008F2562">
            <w:pPr>
              <w:shd w:val="clear" w:color="auto" w:fill="FFFFFF"/>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Another point: The story of the founder was presented as a more powerful way to engage an audience compared to a customer’s story or a purely informational ad.</w:t>
            </w:r>
          </w:p>
        </w:tc>
      </w:tr>
      <w:tr w:rsidR="00BB6086" w:rsidRPr="00BB6086" w14:paraId="3EA26A1D" w14:textId="77777777" w:rsidTr="00BB6086">
        <w:tc>
          <w:tcPr>
            <w:cnfStyle w:val="001000000000" w:firstRow="0" w:lastRow="0" w:firstColumn="1" w:lastColumn="0" w:oddVBand="0" w:evenVBand="0" w:oddHBand="0" w:evenHBand="0" w:firstRowFirstColumn="0" w:firstRowLastColumn="0" w:lastRowFirstColumn="0" w:lastRowLastColumn="0"/>
            <w:tcW w:w="1098" w:type="dxa"/>
          </w:tcPr>
          <w:p w14:paraId="34DABF56" w14:textId="77777777" w:rsidR="00BB6086" w:rsidRPr="00BB6086" w:rsidRDefault="00BB6086" w:rsidP="008F2562">
            <w:pPr>
              <w:shd w:val="clear" w:color="auto" w:fill="FFFFFF"/>
              <w:spacing w:after="0" w:line="480" w:lineRule="auto"/>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b w:val="0"/>
                <w:bCs w:val="0"/>
                <w:color w:val="000000" w:themeColor="text1"/>
                <w:kern w:val="0"/>
                <w:sz w:val="18"/>
                <w:szCs w:val="18"/>
                <w:shd w:val="clear" w:color="auto" w:fill="FFFFFF"/>
                <w:lang w:val="en-US" w:eastAsia="sk-SK"/>
                <w14:ligatures w14:val="none"/>
              </w:rPr>
              <w:t>(Nikulina, 2024)</w:t>
            </w:r>
          </w:p>
        </w:tc>
        <w:tc>
          <w:tcPr>
            <w:tcW w:w="1980" w:type="dxa"/>
          </w:tcPr>
          <w:p w14:paraId="46EB2840" w14:textId="77777777" w:rsidR="00BB6086" w:rsidRPr="00BB6086" w:rsidRDefault="00BB6086" w:rsidP="008F256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 xml:space="preserve">Look further into narrative transportation theory and how to tell a visual story. </w:t>
            </w:r>
          </w:p>
        </w:tc>
        <w:tc>
          <w:tcPr>
            <w:tcW w:w="1620" w:type="dxa"/>
          </w:tcPr>
          <w:p w14:paraId="4673E934"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0"/>
                <w:sz w:val="18"/>
                <w:szCs w:val="18"/>
                <w:shd w:val="clear" w:color="auto" w:fill="FFFFFF"/>
                <w:lang w:val="en-US" w:eastAsia="sk-SK"/>
                <w14:ligatures w14:val="none"/>
              </w:rPr>
            </w:pPr>
            <w:r w:rsidRPr="00BB6086">
              <w:rPr>
                <w:rFonts w:ascii="Times New Roman" w:eastAsia="Calibri" w:hAnsi="Times New Roman" w:cs="Times New Roman"/>
                <w:color w:val="000000" w:themeColor="text1"/>
                <w:kern w:val="0"/>
                <w:sz w:val="18"/>
                <w:szCs w:val="18"/>
                <w:shd w:val="clear" w:color="auto" w:fill="FFFFFF"/>
                <w:lang w:val="en-US" w:eastAsia="sk-SK"/>
                <w14:ligatures w14:val="none"/>
              </w:rPr>
              <w:t>SLR</w:t>
            </w:r>
          </w:p>
        </w:tc>
        <w:tc>
          <w:tcPr>
            <w:tcW w:w="5156" w:type="dxa"/>
          </w:tcPr>
          <w:p w14:paraId="67C65471" w14:textId="77777777" w:rsidR="00BB6086" w:rsidRPr="00BB6086" w:rsidRDefault="00BB6086" w:rsidP="008F2562">
            <w:pPr>
              <w:shd w:val="clear" w:color="auto" w:fill="FFFFFF"/>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8"/>
                <w:szCs w:val="18"/>
                <w:lang w:val="en-US" w:eastAsia="sk-SK"/>
                <w14:ligatures w14:val="none"/>
              </w:rPr>
            </w:pPr>
            <w:r w:rsidRPr="00BB6086">
              <w:rPr>
                <w:rFonts w:ascii="Times New Roman" w:eastAsia="Times New Roman" w:hAnsi="Times New Roman" w:cs="Times New Roman"/>
                <w:color w:val="000000" w:themeColor="text1"/>
                <w:kern w:val="0"/>
                <w:sz w:val="18"/>
                <w:szCs w:val="18"/>
                <w:lang w:val="en-US" w:eastAsia="sk-SK"/>
                <w14:ligatures w14:val="none"/>
              </w:rPr>
              <w:t>An image must narrate, act, and resonate (NAR). Authors also provide visual features that should be used: complexity, background, composition, people, objects, realism, dynamism, and taboo.</w:t>
            </w:r>
          </w:p>
        </w:tc>
      </w:tr>
      <w:bookmarkEnd w:id="0"/>
    </w:tbl>
    <w:p w14:paraId="5CC81327" w14:textId="77777777" w:rsidR="00BB6086" w:rsidRDefault="00BB6086"/>
    <w:sectPr w:rsidR="00BB6086" w:rsidSect="001E7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86"/>
    <w:rsid w:val="001E7DBC"/>
    <w:rsid w:val="00463E26"/>
    <w:rsid w:val="00B06813"/>
    <w:rsid w:val="00BB6086"/>
    <w:rsid w:val="00C77C7F"/>
    <w:rsid w:val="00DC4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78CC"/>
  <w15:chartTrackingRefBased/>
  <w15:docId w15:val="{681D38C6-5DF5-43A4-B15C-3AB9DDE4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86"/>
    <w:pPr>
      <w:spacing w:after="200" w:line="276" w:lineRule="auto"/>
    </w:pPr>
    <w:rPr>
      <w:rFonts w:asciiTheme="minorHAnsi" w:hAnsiTheme="minorHAnsi"/>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B60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2598</Words>
  <Characters>14809</Characters>
  <Application>Microsoft Office Word</Application>
  <DocSecurity>0</DocSecurity>
  <Lines>123</Lines>
  <Paragraphs>34</Paragraphs>
  <ScaleCrop>false</ScaleCrop>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Aljarah</dc:creator>
  <cp:keywords/>
  <dc:description/>
  <cp:lastModifiedBy>Ahmad Aljarah</cp:lastModifiedBy>
  <cp:revision>1</cp:revision>
  <dcterms:created xsi:type="dcterms:W3CDTF">2025-11-28T21:32:00Z</dcterms:created>
  <dcterms:modified xsi:type="dcterms:W3CDTF">2025-11-28T21:34:00Z</dcterms:modified>
</cp:coreProperties>
</file>